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563ADA" w14:textId="0224BEFD" w:rsidR="002867C8" w:rsidRPr="004430CF" w:rsidRDefault="002867C8">
      <w:pPr>
        <w:spacing w:line="460" w:lineRule="exact"/>
        <w:rPr>
          <w:rFonts w:ascii="宋体" w:hAnsi="宋体" w:hint="eastAsia"/>
          <w:sz w:val="24"/>
          <w:szCs w:val="24"/>
        </w:rPr>
      </w:pPr>
      <w:r w:rsidRPr="00A449F3">
        <w:rPr>
          <w:rFonts w:ascii="宋体" w:hAnsi="宋体" w:hint="eastAsia"/>
          <w:sz w:val="24"/>
          <w:szCs w:val="24"/>
        </w:rPr>
        <w:t>股票代码：600860           股票简称：京城</w:t>
      </w:r>
      <w:r w:rsidR="00A03935">
        <w:rPr>
          <w:rFonts w:ascii="宋体" w:hAnsi="宋体" w:hint="eastAsia"/>
          <w:sz w:val="24"/>
          <w:szCs w:val="24"/>
        </w:rPr>
        <w:t>股份</w:t>
      </w:r>
      <w:r w:rsidRPr="00A449F3">
        <w:rPr>
          <w:rFonts w:ascii="宋体" w:hAnsi="宋体" w:hint="eastAsia"/>
          <w:sz w:val="24"/>
          <w:szCs w:val="24"/>
        </w:rPr>
        <w:t xml:space="preserve">        </w:t>
      </w:r>
      <w:r w:rsidRPr="00E713F9">
        <w:rPr>
          <w:rFonts w:ascii="宋体" w:hAnsi="宋体" w:hint="eastAsia"/>
          <w:sz w:val="24"/>
          <w:szCs w:val="24"/>
        </w:rPr>
        <w:t>编号：</w:t>
      </w:r>
      <w:r w:rsidRPr="004237C0">
        <w:rPr>
          <w:rFonts w:ascii="宋体" w:hAnsi="宋体" w:hint="eastAsia"/>
          <w:sz w:val="24"/>
          <w:szCs w:val="24"/>
        </w:rPr>
        <w:t>临</w:t>
      </w:r>
      <w:r w:rsidR="00036720">
        <w:rPr>
          <w:rFonts w:ascii="宋体" w:hAnsi="宋体" w:hint="eastAsia"/>
          <w:sz w:val="24"/>
          <w:szCs w:val="24"/>
        </w:rPr>
        <w:t>202</w:t>
      </w:r>
      <w:r w:rsidR="00EA5A19">
        <w:rPr>
          <w:rFonts w:ascii="宋体" w:hAnsi="宋体" w:hint="eastAsia"/>
          <w:sz w:val="24"/>
          <w:szCs w:val="24"/>
        </w:rPr>
        <w:t>5</w:t>
      </w:r>
      <w:r w:rsidR="004430CF" w:rsidRPr="00B01688">
        <w:rPr>
          <w:rFonts w:ascii="宋体" w:hAnsi="宋体" w:hint="eastAsia"/>
          <w:sz w:val="24"/>
          <w:szCs w:val="24"/>
        </w:rPr>
        <w:t>-</w:t>
      </w:r>
      <w:r w:rsidR="00036720" w:rsidRPr="00EC60D4">
        <w:rPr>
          <w:rFonts w:ascii="宋体" w:hAnsi="宋体" w:hint="eastAsia"/>
          <w:sz w:val="24"/>
          <w:szCs w:val="24"/>
        </w:rPr>
        <w:t>0</w:t>
      </w:r>
      <w:r w:rsidR="00EC60D4" w:rsidRPr="00EC60D4">
        <w:rPr>
          <w:rFonts w:ascii="宋体" w:hAnsi="宋体" w:hint="eastAsia"/>
          <w:sz w:val="24"/>
          <w:szCs w:val="24"/>
        </w:rPr>
        <w:t>14</w:t>
      </w:r>
    </w:p>
    <w:p w14:paraId="351C60B6" w14:textId="77777777" w:rsidR="002867C8" w:rsidRPr="00A449F3" w:rsidRDefault="002867C8">
      <w:pPr>
        <w:spacing w:line="460" w:lineRule="exact"/>
        <w:ind w:firstLine="57"/>
        <w:rPr>
          <w:rFonts w:ascii="宋体" w:hAnsi="宋体" w:hint="eastAsia"/>
          <w:sz w:val="24"/>
          <w:szCs w:val="24"/>
        </w:rPr>
      </w:pPr>
    </w:p>
    <w:p w14:paraId="1CB703B5" w14:textId="77777777" w:rsidR="002867C8" w:rsidRPr="00A449F3" w:rsidRDefault="002867C8">
      <w:pPr>
        <w:adjustRightInd w:val="0"/>
        <w:snapToGrid w:val="0"/>
        <w:spacing w:line="460" w:lineRule="exact"/>
        <w:jc w:val="center"/>
        <w:rPr>
          <w:rFonts w:ascii="宋体" w:hAnsi="宋体" w:hint="eastAsia"/>
          <w:b/>
          <w:color w:val="FF0000"/>
          <w:sz w:val="36"/>
          <w:szCs w:val="36"/>
        </w:rPr>
      </w:pP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北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城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机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电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股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份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有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限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司</w:t>
      </w:r>
    </w:p>
    <w:p w14:paraId="3415E536" w14:textId="77777777" w:rsidR="002867C8" w:rsidRPr="00A449F3" w:rsidRDefault="002867C8">
      <w:pPr>
        <w:adjustRightInd w:val="0"/>
        <w:snapToGrid w:val="0"/>
        <w:spacing w:line="460" w:lineRule="exact"/>
        <w:jc w:val="center"/>
        <w:rPr>
          <w:rFonts w:ascii="宋体" w:hAnsi="宋体" w:hint="eastAsia"/>
          <w:b/>
          <w:caps/>
          <w:color w:val="FF0000"/>
          <w:sz w:val="32"/>
          <w:szCs w:val="32"/>
        </w:rPr>
      </w:pPr>
      <w:r w:rsidRPr="00A449F3">
        <w:rPr>
          <w:rFonts w:ascii="宋体" w:hAnsi="宋体"/>
          <w:b/>
          <w:caps/>
          <w:color w:val="FF0000"/>
          <w:sz w:val="32"/>
          <w:szCs w:val="32"/>
        </w:rPr>
        <w:t>Beijing Jingcheng Machinery Electric Company Limited</w:t>
      </w:r>
    </w:p>
    <w:p w14:paraId="470713C5" w14:textId="77777777" w:rsidR="002867C8" w:rsidRPr="00A449F3" w:rsidRDefault="002867C8">
      <w:pPr>
        <w:adjustRightInd w:val="0"/>
        <w:snapToGrid w:val="0"/>
        <w:spacing w:line="460" w:lineRule="exact"/>
        <w:jc w:val="center"/>
        <w:rPr>
          <w:rFonts w:ascii="宋体" w:hAnsi="宋体" w:hint="eastAsia"/>
          <w:b/>
          <w:i/>
          <w:color w:val="FF0000"/>
          <w:sz w:val="32"/>
          <w:szCs w:val="32"/>
        </w:rPr>
      </w:pPr>
      <w:r w:rsidRPr="00A449F3">
        <w:rPr>
          <w:rFonts w:ascii="宋体" w:hAnsi="宋体" w:hint="eastAsia"/>
          <w:b/>
          <w:i/>
          <w:color w:val="FF0000"/>
          <w:sz w:val="32"/>
          <w:szCs w:val="32"/>
        </w:rPr>
        <w:t>(在中华人民共和国注册成立之股份有限公司)</w:t>
      </w:r>
    </w:p>
    <w:p w14:paraId="758E4D85" w14:textId="40166152" w:rsidR="00336946" w:rsidRPr="00535CBF" w:rsidRDefault="00532FEB" w:rsidP="00336946">
      <w:pPr>
        <w:jc w:val="center"/>
        <w:rPr>
          <w:rFonts w:ascii="Times New Roman" w:hAnsi="Times New Roman"/>
          <w:b/>
          <w:bCs/>
          <w:color w:val="FF0000"/>
          <w:sz w:val="32"/>
          <w:szCs w:val="32"/>
        </w:rPr>
      </w:pPr>
      <w:r w:rsidRPr="00532FEB">
        <w:rPr>
          <w:rFonts w:ascii="Times New Roman" w:hAnsi="Times New Roman" w:hint="eastAsia"/>
          <w:b/>
          <w:bCs/>
          <w:color w:val="FF0000"/>
          <w:sz w:val="32"/>
          <w:szCs w:val="32"/>
        </w:rPr>
        <w:t>关于会计政策</w:t>
      </w:r>
      <w:r w:rsidR="00173BCF">
        <w:rPr>
          <w:rFonts w:ascii="Times New Roman" w:hAnsi="Times New Roman" w:hint="eastAsia"/>
          <w:b/>
          <w:bCs/>
          <w:color w:val="FF0000"/>
          <w:sz w:val="32"/>
          <w:szCs w:val="32"/>
        </w:rPr>
        <w:t>变更</w:t>
      </w:r>
      <w:r w:rsidRPr="00532FEB">
        <w:rPr>
          <w:rFonts w:ascii="Times New Roman" w:hAnsi="Times New Roman" w:hint="eastAsia"/>
          <w:b/>
          <w:bCs/>
          <w:color w:val="FF0000"/>
          <w:sz w:val="32"/>
          <w:szCs w:val="32"/>
        </w:rPr>
        <w:t>的公告</w:t>
      </w:r>
    </w:p>
    <w:p w14:paraId="6F40E92A" w14:textId="77777777" w:rsidR="002867C8" w:rsidRPr="00A449F3" w:rsidRDefault="002867C8">
      <w:pPr>
        <w:spacing w:line="360" w:lineRule="exact"/>
        <w:jc w:val="center"/>
        <w:rPr>
          <w:rFonts w:ascii="宋体" w:hAnsi="宋体" w:hint="eastAsia"/>
          <w:b/>
          <w:sz w:val="30"/>
          <w:szCs w:val="30"/>
        </w:rPr>
      </w:pPr>
    </w:p>
    <w:p w14:paraId="283DE838" w14:textId="748C491C" w:rsidR="002867C8" w:rsidRPr="00174B6E" w:rsidRDefault="00EB4DC8" w:rsidP="001C509E">
      <w:pPr>
        <w:pBdr>
          <w:top w:val="single" w:sz="4" w:space="1" w:color="auto"/>
          <w:left w:val="single" w:sz="4" w:space="4" w:color="auto"/>
          <w:bottom w:val="single" w:sz="4" w:space="7" w:color="auto"/>
          <w:right w:val="single" w:sz="4" w:space="4" w:color="auto"/>
        </w:pBdr>
        <w:autoSpaceDE w:val="0"/>
        <w:autoSpaceDN w:val="0"/>
        <w:spacing w:line="400" w:lineRule="exact"/>
        <w:ind w:firstLineChars="200" w:firstLine="480"/>
        <w:rPr>
          <w:rFonts w:ascii="宋体" w:hAnsi="宋体" w:hint="eastAsia"/>
          <w:bCs/>
          <w:color w:val="000000"/>
          <w:sz w:val="24"/>
          <w:szCs w:val="24"/>
        </w:rPr>
      </w:pPr>
      <w:r w:rsidRPr="00174B6E">
        <w:rPr>
          <w:rFonts w:ascii="宋体" w:hAnsi="宋体" w:hint="eastAsia"/>
          <w:bCs/>
          <w:color w:val="000000"/>
          <w:sz w:val="24"/>
          <w:szCs w:val="24"/>
        </w:rPr>
        <w:t>公司董事会及董事会全体成员</w:t>
      </w:r>
      <w:r w:rsidR="001C509E" w:rsidRPr="00174B6E">
        <w:rPr>
          <w:rFonts w:ascii="宋体" w:hAnsi="宋体" w:hint="eastAsia"/>
          <w:bCs/>
          <w:color w:val="000000"/>
          <w:sz w:val="24"/>
          <w:szCs w:val="24"/>
        </w:rPr>
        <w:t>保证本公告内容不存在任何虚假记载、误导性陈述或者重大遗漏，并对其内容的真实性、准确性和完整性承担</w:t>
      </w:r>
      <w:r w:rsidR="006F2B9A">
        <w:rPr>
          <w:rFonts w:ascii="宋体" w:hAnsi="宋体" w:hint="eastAsia"/>
          <w:bCs/>
          <w:color w:val="000000"/>
          <w:sz w:val="24"/>
          <w:szCs w:val="24"/>
        </w:rPr>
        <w:t>法律</w:t>
      </w:r>
      <w:r w:rsidR="001C509E" w:rsidRPr="00174B6E">
        <w:rPr>
          <w:rFonts w:ascii="宋体" w:hAnsi="宋体" w:hint="eastAsia"/>
          <w:bCs/>
          <w:color w:val="000000"/>
          <w:sz w:val="24"/>
          <w:szCs w:val="24"/>
        </w:rPr>
        <w:t xml:space="preserve">责任。   </w:t>
      </w:r>
    </w:p>
    <w:p w14:paraId="6A027ED6" w14:textId="77777777" w:rsidR="00376BE2" w:rsidRDefault="00376BE2" w:rsidP="00376BE2">
      <w:pPr>
        <w:spacing w:line="500" w:lineRule="exact"/>
        <w:ind w:firstLineChars="200" w:firstLine="480"/>
        <w:rPr>
          <w:rFonts w:ascii="Times New Roman" w:hAnsi="Times New Roman"/>
          <w:sz w:val="24"/>
          <w:szCs w:val="21"/>
        </w:rPr>
      </w:pPr>
    </w:p>
    <w:p w14:paraId="13E682AD" w14:textId="4665F60B" w:rsidR="00532FEB" w:rsidRPr="00532FEB" w:rsidRDefault="00532FEB" w:rsidP="00532FEB">
      <w:pPr>
        <w:spacing w:line="500" w:lineRule="exact"/>
        <w:ind w:firstLineChars="202" w:firstLine="487"/>
        <w:rPr>
          <w:rFonts w:ascii="宋体" w:hAnsi="宋体" w:hint="eastAsia"/>
          <w:b/>
          <w:bCs/>
          <w:sz w:val="24"/>
          <w:szCs w:val="24"/>
        </w:rPr>
      </w:pPr>
      <w:r w:rsidRPr="00532FEB">
        <w:rPr>
          <w:rFonts w:ascii="宋体" w:hAnsi="宋体" w:hint="eastAsia"/>
          <w:b/>
          <w:bCs/>
          <w:sz w:val="24"/>
          <w:szCs w:val="24"/>
        </w:rPr>
        <w:t>特别提示：</w:t>
      </w:r>
    </w:p>
    <w:p w14:paraId="433C979D" w14:textId="26FEF6E5" w:rsidR="001C1F75" w:rsidRDefault="00282CD8" w:rsidP="00F03CCF">
      <w:pPr>
        <w:spacing w:line="500" w:lineRule="exact"/>
        <w:ind w:firstLineChars="200" w:firstLine="480"/>
        <w:rPr>
          <w:rFonts w:ascii="宋体" w:hAnsi="宋体" w:hint="eastAsia"/>
          <w:sz w:val="24"/>
          <w:szCs w:val="24"/>
        </w:rPr>
      </w:pPr>
      <w:r w:rsidRPr="00282CD8">
        <w:rPr>
          <w:rFonts w:ascii="宋体" w:hAnsi="宋体" w:hint="eastAsia"/>
          <w:sz w:val="24"/>
          <w:szCs w:val="24"/>
        </w:rPr>
        <w:t>●</w:t>
      </w:r>
      <w:r>
        <w:rPr>
          <w:rFonts w:ascii="宋体" w:hAnsi="宋体" w:hint="eastAsia"/>
          <w:sz w:val="24"/>
          <w:szCs w:val="24"/>
        </w:rPr>
        <w:t xml:space="preserve"> </w:t>
      </w:r>
      <w:r w:rsidR="00532FEB" w:rsidRPr="00532FEB">
        <w:rPr>
          <w:rFonts w:ascii="宋体" w:hAnsi="宋体"/>
          <w:sz w:val="24"/>
          <w:szCs w:val="24"/>
        </w:rPr>
        <w:t>本次会计政策变更系根据中华人民共和国财政部（以下简称“财政部”）发布的《企业会计准则解释第</w:t>
      </w:r>
      <w:r w:rsidR="00532FEB">
        <w:rPr>
          <w:rFonts w:ascii="宋体" w:hAnsi="宋体" w:hint="eastAsia"/>
          <w:sz w:val="24"/>
          <w:szCs w:val="24"/>
        </w:rPr>
        <w:t>18</w:t>
      </w:r>
      <w:r w:rsidR="00532FEB" w:rsidRPr="00532FEB">
        <w:rPr>
          <w:rFonts w:ascii="宋体" w:hAnsi="宋体"/>
          <w:sz w:val="24"/>
          <w:szCs w:val="24"/>
        </w:rPr>
        <w:t>号》的相关规定进行的相应变更，</w:t>
      </w:r>
      <w:r w:rsidR="00B94BB3" w:rsidRPr="00B94BB3">
        <w:rPr>
          <w:rFonts w:ascii="宋体" w:hAnsi="宋体"/>
          <w:sz w:val="24"/>
          <w:szCs w:val="24"/>
        </w:rPr>
        <w:t>本次会计政策变更不会对公司当期及前期的财务状况、经营成果和现金流量产生重大影响，亦不存在损害公司及全体股东，特别是中小股东利益的情形。</w:t>
      </w:r>
    </w:p>
    <w:p w14:paraId="29C79CFE" w14:textId="72160CE2" w:rsidR="00B94BB3" w:rsidRPr="00532FEB" w:rsidRDefault="00282CD8" w:rsidP="00F03CCF">
      <w:pPr>
        <w:spacing w:line="500" w:lineRule="exact"/>
        <w:ind w:firstLineChars="200" w:firstLine="480"/>
        <w:rPr>
          <w:rFonts w:ascii="宋体" w:hAnsi="宋体" w:hint="eastAsia"/>
          <w:bCs/>
          <w:color w:val="000000"/>
          <w:kern w:val="0"/>
          <w:sz w:val="24"/>
          <w:szCs w:val="24"/>
        </w:rPr>
      </w:pPr>
      <w:r w:rsidRPr="00282CD8">
        <w:rPr>
          <w:rFonts w:ascii="宋体" w:hAnsi="宋体" w:hint="eastAsia"/>
          <w:bCs/>
          <w:color w:val="000000"/>
          <w:kern w:val="0"/>
          <w:sz w:val="24"/>
          <w:szCs w:val="24"/>
        </w:rPr>
        <w:t>●</w:t>
      </w:r>
      <w:r>
        <w:rPr>
          <w:rFonts w:ascii="宋体" w:hAnsi="宋体" w:hint="eastAsia"/>
          <w:bCs/>
          <w:color w:val="000000"/>
          <w:kern w:val="0"/>
          <w:sz w:val="24"/>
          <w:szCs w:val="24"/>
        </w:rPr>
        <w:t xml:space="preserve"> </w:t>
      </w:r>
      <w:r w:rsidR="00B94BB3" w:rsidRPr="00B94BB3">
        <w:rPr>
          <w:rFonts w:ascii="宋体" w:hAnsi="宋体"/>
          <w:bCs/>
          <w:color w:val="000000"/>
          <w:kern w:val="0"/>
          <w:sz w:val="24"/>
          <w:szCs w:val="24"/>
        </w:rPr>
        <w:t>本次会计政策变更无需提交公司股东大会审议。</w:t>
      </w:r>
    </w:p>
    <w:p w14:paraId="4D6D5711" w14:textId="77777777" w:rsidR="00532FEB" w:rsidRPr="00022D4F" w:rsidRDefault="00532FEB" w:rsidP="00F03CCF">
      <w:pPr>
        <w:widowControl/>
        <w:spacing w:line="500" w:lineRule="exact"/>
        <w:ind w:firstLine="200"/>
        <w:rPr>
          <w:rFonts w:ascii="宋体" w:hAnsi="宋体" w:hint="eastAsia"/>
          <w:bCs/>
          <w:color w:val="000000"/>
          <w:kern w:val="0"/>
          <w:sz w:val="24"/>
          <w:szCs w:val="24"/>
        </w:rPr>
      </w:pPr>
    </w:p>
    <w:p w14:paraId="7F4C9B6D" w14:textId="3766B7DE" w:rsidR="00532FEB" w:rsidRPr="00443274" w:rsidRDefault="00532FEB" w:rsidP="00F03CCF">
      <w:pPr>
        <w:spacing w:line="500" w:lineRule="exact"/>
        <w:ind w:firstLineChars="200" w:firstLine="482"/>
        <w:rPr>
          <w:rFonts w:ascii="宋体" w:hAnsi="宋体" w:hint="eastAsia"/>
          <w:b/>
          <w:bCs/>
          <w:sz w:val="24"/>
          <w:szCs w:val="24"/>
        </w:rPr>
      </w:pPr>
      <w:r w:rsidRPr="00443274">
        <w:rPr>
          <w:rFonts w:ascii="宋体" w:hAnsi="宋体"/>
          <w:b/>
          <w:bCs/>
          <w:sz w:val="24"/>
          <w:szCs w:val="24"/>
        </w:rPr>
        <w:t xml:space="preserve">一、会计政策变更概述 </w:t>
      </w:r>
    </w:p>
    <w:p w14:paraId="7587A3E8" w14:textId="22DF4DAA" w:rsidR="00532FEB" w:rsidRDefault="008C4F6E" w:rsidP="00F03CCF">
      <w:pPr>
        <w:spacing w:line="500" w:lineRule="exact"/>
        <w:ind w:firstLineChars="200" w:firstLine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1、</w:t>
      </w:r>
      <w:r w:rsidR="00532FEB" w:rsidRPr="00532FEB">
        <w:rPr>
          <w:rFonts w:ascii="宋体" w:hAnsi="宋体"/>
          <w:sz w:val="24"/>
          <w:szCs w:val="24"/>
        </w:rPr>
        <w:t>会计政策变更</w:t>
      </w:r>
      <w:r w:rsidR="006D0F45">
        <w:rPr>
          <w:rFonts w:ascii="宋体" w:hAnsi="宋体" w:hint="eastAsia"/>
          <w:sz w:val="24"/>
          <w:szCs w:val="24"/>
        </w:rPr>
        <w:t>原因</w:t>
      </w:r>
      <w:r w:rsidR="00532FEB" w:rsidRPr="00532FEB">
        <w:rPr>
          <w:rFonts w:ascii="宋体" w:hAnsi="宋体"/>
          <w:sz w:val="24"/>
          <w:szCs w:val="24"/>
        </w:rPr>
        <w:t xml:space="preserve"> </w:t>
      </w:r>
    </w:p>
    <w:p w14:paraId="4F3A8E3C" w14:textId="10B2C960" w:rsidR="00532FEB" w:rsidRDefault="006D0F45" w:rsidP="006D0F45">
      <w:pPr>
        <w:spacing w:line="500" w:lineRule="exact"/>
        <w:ind w:firstLineChars="200" w:firstLine="480"/>
        <w:rPr>
          <w:rFonts w:ascii="宋体" w:hAnsi="宋体" w:hint="eastAsia"/>
          <w:sz w:val="24"/>
          <w:szCs w:val="24"/>
        </w:rPr>
      </w:pPr>
      <w:r w:rsidRPr="006D0F45">
        <w:rPr>
          <w:rFonts w:ascii="宋体" w:hAnsi="宋体" w:hint="eastAsia"/>
          <w:sz w:val="24"/>
          <w:szCs w:val="24"/>
        </w:rPr>
        <w:t>财政部于2024年12月6日发布了《关于印发&lt;企业会计准则解释第18号&gt;的通知》(财会〔2024〕24号)，要求“关于浮动收费法下作为基础项目持有的投资性房地产的后续计量”和“关于不属于单项履约义务的保证类质量保证的会计处理”自印发之日起施行，允许企业自发布年度提前执行。</w:t>
      </w:r>
    </w:p>
    <w:p w14:paraId="10BA0D5A" w14:textId="344F7729" w:rsidR="006D0F45" w:rsidRDefault="008C4F6E" w:rsidP="00F03CCF">
      <w:pPr>
        <w:spacing w:line="500" w:lineRule="exact"/>
        <w:ind w:firstLineChars="200" w:firstLine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2、</w:t>
      </w:r>
      <w:r w:rsidR="006D0F45">
        <w:rPr>
          <w:rFonts w:ascii="宋体" w:hAnsi="宋体" w:hint="eastAsia"/>
          <w:sz w:val="24"/>
          <w:szCs w:val="24"/>
        </w:rPr>
        <w:t>变更具体内容</w:t>
      </w:r>
    </w:p>
    <w:p w14:paraId="137FE45D" w14:textId="5E0B2979" w:rsidR="00532FEB" w:rsidRDefault="006D0F45" w:rsidP="00F03CCF">
      <w:pPr>
        <w:spacing w:line="500" w:lineRule="exact"/>
        <w:ind w:firstLineChars="200" w:firstLine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（1）</w:t>
      </w:r>
      <w:r w:rsidRPr="006D0F45">
        <w:rPr>
          <w:rFonts w:ascii="宋体" w:hAnsi="宋体" w:hint="eastAsia"/>
          <w:sz w:val="24"/>
          <w:szCs w:val="24"/>
        </w:rPr>
        <w:t>本次会计政策变更</w:t>
      </w:r>
      <w:proofErr w:type="gramStart"/>
      <w:r w:rsidRPr="006D0F45">
        <w:rPr>
          <w:rFonts w:ascii="宋体" w:hAnsi="宋体" w:hint="eastAsia"/>
          <w:sz w:val="24"/>
          <w:szCs w:val="24"/>
        </w:rPr>
        <w:t>前采用</w:t>
      </w:r>
      <w:proofErr w:type="gramEnd"/>
      <w:r w:rsidRPr="006D0F45">
        <w:rPr>
          <w:rFonts w:ascii="宋体" w:hAnsi="宋体" w:hint="eastAsia"/>
          <w:sz w:val="24"/>
          <w:szCs w:val="24"/>
        </w:rPr>
        <w:t>的会计政策</w:t>
      </w:r>
      <w:r w:rsidR="00532FEB" w:rsidRPr="00532FEB">
        <w:rPr>
          <w:rFonts w:ascii="宋体" w:hAnsi="宋体"/>
          <w:sz w:val="24"/>
          <w:szCs w:val="24"/>
        </w:rPr>
        <w:t xml:space="preserve"> </w:t>
      </w:r>
    </w:p>
    <w:p w14:paraId="5AC050D0" w14:textId="1D3651A7" w:rsidR="006D0F45" w:rsidRPr="006D0F45" w:rsidRDefault="006D0F45" w:rsidP="006D0F45">
      <w:pPr>
        <w:spacing w:line="500" w:lineRule="exact"/>
        <w:ind w:firstLineChars="200" w:firstLine="480"/>
        <w:rPr>
          <w:rFonts w:ascii="宋体" w:hAnsi="宋体" w:hint="eastAsia"/>
          <w:sz w:val="24"/>
          <w:szCs w:val="24"/>
        </w:rPr>
      </w:pPr>
      <w:r w:rsidRPr="006D0F45">
        <w:rPr>
          <w:rFonts w:ascii="宋体" w:hAnsi="宋体" w:hint="eastAsia"/>
          <w:sz w:val="24"/>
          <w:szCs w:val="24"/>
        </w:rPr>
        <w:t>本次会计政策变更前，公司执行财政部印发的《企业会计准则—基本准则》和各项具体会计准则、企业会计准则应用指南、企业会计准则解释公告以及其他相关规定。</w:t>
      </w:r>
    </w:p>
    <w:p w14:paraId="1EE91853" w14:textId="77777777" w:rsidR="006D0F45" w:rsidRPr="006D0F45" w:rsidRDefault="006D0F45" w:rsidP="006D0F45">
      <w:pPr>
        <w:spacing w:line="500" w:lineRule="exact"/>
        <w:ind w:firstLineChars="200" w:firstLine="480"/>
        <w:rPr>
          <w:rFonts w:ascii="宋体" w:hAnsi="宋体" w:hint="eastAsia"/>
          <w:sz w:val="24"/>
          <w:szCs w:val="24"/>
        </w:rPr>
      </w:pPr>
      <w:r w:rsidRPr="006D0F45">
        <w:rPr>
          <w:rFonts w:ascii="宋体" w:hAnsi="宋体" w:hint="eastAsia"/>
          <w:sz w:val="24"/>
          <w:szCs w:val="24"/>
        </w:rPr>
        <w:lastRenderedPageBreak/>
        <w:t>（2）本次会计政策变更后采用的会计政策</w:t>
      </w:r>
    </w:p>
    <w:p w14:paraId="2E03BD13" w14:textId="4527A6C9" w:rsidR="006D0F45" w:rsidRDefault="006D0F45" w:rsidP="006D0F45">
      <w:pPr>
        <w:spacing w:line="500" w:lineRule="exact"/>
        <w:ind w:firstLineChars="200" w:firstLine="480"/>
        <w:rPr>
          <w:rFonts w:ascii="宋体" w:hAnsi="宋体" w:hint="eastAsia"/>
          <w:sz w:val="24"/>
          <w:szCs w:val="24"/>
        </w:rPr>
      </w:pPr>
      <w:r w:rsidRPr="006D0F45">
        <w:rPr>
          <w:rFonts w:ascii="宋体" w:hAnsi="宋体" w:hint="eastAsia"/>
          <w:sz w:val="24"/>
          <w:szCs w:val="24"/>
        </w:rPr>
        <w:t>本次会计政策变更后，公司将按照《企业会计准则解释第18号》的相关规定执行。其余未变更部分，仍按照财政部前期颁布的《企业会计准则—基本准则》和各项具体会计准则、企业会计准则应用指南、企业会计准则解释公告以及其他相关规定执行。</w:t>
      </w:r>
    </w:p>
    <w:p w14:paraId="407A7B9F" w14:textId="7736877A" w:rsidR="00532FEB" w:rsidRPr="00443274" w:rsidRDefault="00532FEB" w:rsidP="00F03CCF">
      <w:pPr>
        <w:spacing w:line="500" w:lineRule="exact"/>
        <w:ind w:firstLineChars="200" w:firstLine="482"/>
        <w:rPr>
          <w:rFonts w:ascii="宋体" w:hAnsi="宋体" w:hint="eastAsia"/>
          <w:b/>
          <w:bCs/>
          <w:sz w:val="24"/>
          <w:szCs w:val="24"/>
        </w:rPr>
      </w:pPr>
      <w:r w:rsidRPr="00443274">
        <w:rPr>
          <w:rFonts w:ascii="宋体" w:hAnsi="宋体"/>
          <w:b/>
          <w:bCs/>
          <w:sz w:val="24"/>
          <w:szCs w:val="24"/>
        </w:rPr>
        <w:t xml:space="preserve">二、本次会计政策变更对公司的影响 </w:t>
      </w:r>
    </w:p>
    <w:p w14:paraId="2F56727D" w14:textId="37A9AFBE" w:rsidR="006D0F45" w:rsidRPr="006D0F45" w:rsidRDefault="006D0F45" w:rsidP="006D0F45">
      <w:pPr>
        <w:spacing w:line="500" w:lineRule="exact"/>
        <w:ind w:firstLineChars="200" w:firstLine="480"/>
        <w:rPr>
          <w:rFonts w:ascii="宋体" w:hAnsi="宋体" w:hint="eastAsia"/>
          <w:sz w:val="24"/>
          <w:szCs w:val="24"/>
        </w:rPr>
      </w:pPr>
      <w:r w:rsidRPr="006D0F45">
        <w:rPr>
          <w:rFonts w:ascii="宋体" w:hAnsi="宋体" w:hint="eastAsia"/>
          <w:sz w:val="24"/>
          <w:szCs w:val="24"/>
        </w:rPr>
        <w:t>1</w:t>
      </w:r>
      <w:r>
        <w:rPr>
          <w:rFonts w:ascii="宋体" w:hAnsi="宋体" w:hint="eastAsia"/>
          <w:sz w:val="24"/>
          <w:szCs w:val="24"/>
        </w:rPr>
        <w:t>、</w:t>
      </w:r>
      <w:r w:rsidRPr="006D0F45">
        <w:rPr>
          <w:rFonts w:ascii="宋体" w:hAnsi="宋体" w:hint="eastAsia"/>
          <w:sz w:val="24"/>
          <w:szCs w:val="24"/>
        </w:rPr>
        <w:t>“关于浮动收费法下作为基础项目持有的投资性房地产的后续计量”相关规定对公司财务报表无影响。</w:t>
      </w:r>
    </w:p>
    <w:p w14:paraId="2272FC41" w14:textId="7F6447E9" w:rsidR="006D0F45" w:rsidRPr="006D0F45" w:rsidRDefault="006D0F45" w:rsidP="006D0F45">
      <w:pPr>
        <w:spacing w:line="500" w:lineRule="exact"/>
        <w:ind w:firstLineChars="200" w:firstLine="480"/>
        <w:rPr>
          <w:rFonts w:ascii="宋体" w:hAnsi="宋体" w:hint="eastAsia"/>
          <w:sz w:val="24"/>
          <w:szCs w:val="24"/>
        </w:rPr>
      </w:pPr>
      <w:r w:rsidRPr="006D0F45">
        <w:rPr>
          <w:rFonts w:ascii="宋体" w:hAnsi="宋体" w:hint="eastAsia"/>
          <w:sz w:val="24"/>
          <w:szCs w:val="24"/>
        </w:rPr>
        <w:t>2</w:t>
      </w:r>
      <w:r>
        <w:rPr>
          <w:rFonts w:ascii="宋体" w:hAnsi="宋体" w:hint="eastAsia"/>
          <w:sz w:val="24"/>
          <w:szCs w:val="24"/>
        </w:rPr>
        <w:t>、</w:t>
      </w:r>
      <w:r w:rsidRPr="006D0F45">
        <w:rPr>
          <w:rFonts w:ascii="宋体" w:hAnsi="宋体" w:hint="eastAsia"/>
          <w:sz w:val="24"/>
          <w:szCs w:val="24"/>
        </w:rPr>
        <w:t>“关于不属于单项履约义务的保证类质量保证的会计处理”规定：明确不属于单项履约义务的保证类质量保证金的会计处理，应当根据《企业会计准则第13号—或有事项》规定，在确认预计负债的同时，将相关金额计入营业成本，并根据流动性列示预计负债。本公司在首次执行日，对此项会计政策变更采用追溯调整法，调整了比较财务报表相关项目列示，分别调增2023年度合并利润表营业成本</w:t>
      </w:r>
      <w:r>
        <w:rPr>
          <w:rFonts w:ascii="宋体" w:hAnsi="宋体" w:hint="eastAsia"/>
          <w:sz w:val="24"/>
          <w:szCs w:val="24"/>
        </w:rPr>
        <w:t>人民币</w:t>
      </w:r>
      <w:r w:rsidRPr="006D0F45">
        <w:rPr>
          <w:rFonts w:ascii="宋体" w:hAnsi="宋体" w:hint="eastAsia"/>
          <w:sz w:val="24"/>
          <w:szCs w:val="24"/>
        </w:rPr>
        <w:t>1,152,937.84元，调减合并利润表销售费用</w:t>
      </w:r>
      <w:r>
        <w:rPr>
          <w:rFonts w:ascii="宋体" w:hAnsi="宋体" w:hint="eastAsia"/>
          <w:sz w:val="24"/>
          <w:szCs w:val="24"/>
        </w:rPr>
        <w:t>人民币</w:t>
      </w:r>
      <w:r w:rsidRPr="006D0F45">
        <w:rPr>
          <w:rFonts w:ascii="宋体" w:hAnsi="宋体" w:hint="eastAsia"/>
          <w:sz w:val="24"/>
          <w:szCs w:val="24"/>
        </w:rPr>
        <w:t>1,152,937.84元。</w:t>
      </w:r>
    </w:p>
    <w:p w14:paraId="6DB7F831" w14:textId="30441119" w:rsidR="006D0F45" w:rsidRDefault="006D0F45" w:rsidP="006D0F45">
      <w:pPr>
        <w:spacing w:line="500" w:lineRule="exact"/>
        <w:ind w:firstLineChars="200" w:firstLine="480"/>
        <w:rPr>
          <w:rFonts w:ascii="宋体" w:hAnsi="宋体" w:hint="eastAsia"/>
          <w:sz w:val="24"/>
          <w:szCs w:val="24"/>
        </w:rPr>
      </w:pPr>
      <w:r w:rsidRPr="006D0F45">
        <w:rPr>
          <w:rFonts w:ascii="宋体" w:hAnsi="宋体" w:hint="eastAsia"/>
          <w:sz w:val="24"/>
          <w:szCs w:val="24"/>
        </w:rPr>
        <w:t>公司本次会计政策变更是根据财政部相关规定和要求进行的变更，符合相关法律法规的规定，执行变更后的会计政策能够客观、公允地反映公司的财务状况和经营成果。本次会计政策变更不会对公司的财务状况、经营成果和现金流量产生重大影响，不存在损害公司及股东利益的情况。</w:t>
      </w:r>
    </w:p>
    <w:p w14:paraId="17DD4B7F" w14:textId="77777777" w:rsidR="00443274" w:rsidRPr="00443274" w:rsidRDefault="00443274" w:rsidP="00F03CCF">
      <w:pPr>
        <w:spacing w:line="500" w:lineRule="exact"/>
        <w:ind w:firstLineChars="200" w:firstLine="482"/>
        <w:rPr>
          <w:rFonts w:ascii="宋体" w:hAnsi="宋体" w:hint="eastAsia"/>
          <w:b/>
          <w:bCs/>
          <w:sz w:val="24"/>
          <w:szCs w:val="24"/>
        </w:rPr>
      </w:pPr>
      <w:r w:rsidRPr="00443274">
        <w:rPr>
          <w:rFonts w:ascii="宋体" w:hAnsi="宋体" w:hint="eastAsia"/>
          <w:b/>
          <w:bCs/>
          <w:sz w:val="24"/>
          <w:szCs w:val="24"/>
        </w:rPr>
        <w:t>三</w:t>
      </w:r>
      <w:r w:rsidRPr="00443274">
        <w:rPr>
          <w:rFonts w:ascii="宋体" w:hAnsi="宋体"/>
          <w:b/>
          <w:bCs/>
          <w:sz w:val="24"/>
          <w:szCs w:val="24"/>
        </w:rPr>
        <w:t xml:space="preserve">、监事会对会计政策变更的意见 </w:t>
      </w:r>
    </w:p>
    <w:p w14:paraId="5521ED30" w14:textId="77777777" w:rsidR="00443274" w:rsidRDefault="00443274" w:rsidP="00F03CCF">
      <w:pPr>
        <w:spacing w:line="500" w:lineRule="exact"/>
        <w:ind w:firstLineChars="200" w:firstLine="480"/>
        <w:rPr>
          <w:rFonts w:ascii="宋体" w:hAnsi="宋体" w:hint="eastAsia"/>
          <w:sz w:val="24"/>
          <w:szCs w:val="24"/>
        </w:rPr>
      </w:pPr>
      <w:r w:rsidRPr="00443274">
        <w:rPr>
          <w:rFonts w:ascii="宋体" w:hAnsi="宋体"/>
          <w:sz w:val="24"/>
          <w:szCs w:val="24"/>
        </w:rPr>
        <w:t>监事会认为：本次会计政策变更是公司根据财政部相关文件要求进行的相应 变更，执行变更后的会计政策能够更加客观、公允地反映公司的财务状况和经营 成果，本次变更相关决策程序符合有关法律法规、规范性文件及《公司章程》的 规定，不存在损害公司及全体股东，特别是中小股东利益的情形。因此，监事会 同意公司本次会计政策变更。</w:t>
      </w:r>
    </w:p>
    <w:p w14:paraId="7F09A2A4" w14:textId="77777777" w:rsidR="00443274" w:rsidRPr="00443274" w:rsidRDefault="00443274" w:rsidP="00F03CCF">
      <w:pPr>
        <w:spacing w:line="500" w:lineRule="exact"/>
        <w:ind w:firstLineChars="200" w:firstLine="482"/>
        <w:rPr>
          <w:rFonts w:ascii="宋体" w:hAnsi="宋体" w:hint="eastAsia"/>
          <w:b/>
          <w:bCs/>
          <w:sz w:val="24"/>
          <w:szCs w:val="24"/>
        </w:rPr>
      </w:pPr>
      <w:r w:rsidRPr="00443274">
        <w:rPr>
          <w:rFonts w:ascii="宋体" w:hAnsi="宋体" w:hint="eastAsia"/>
          <w:b/>
          <w:bCs/>
          <w:sz w:val="24"/>
          <w:szCs w:val="24"/>
        </w:rPr>
        <w:t>四</w:t>
      </w:r>
      <w:r w:rsidRPr="00443274">
        <w:rPr>
          <w:rFonts w:ascii="宋体" w:hAnsi="宋体"/>
          <w:b/>
          <w:bCs/>
          <w:sz w:val="24"/>
          <w:szCs w:val="24"/>
        </w:rPr>
        <w:t xml:space="preserve">、董事会审计委员会审议情况 </w:t>
      </w:r>
    </w:p>
    <w:p w14:paraId="639D72AC" w14:textId="52F926D2" w:rsidR="00443274" w:rsidRPr="009720BD" w:rsidRDefault="00443274" w:rsidP="00F03CCF">
      <w:pPr>
        <w:spacing w:line="500" w:lineRule="exact"/>
        <w:ind w:firstLineChars="200" w:firstLine="480"/>
        <w:rPr>
          <w:rFonts w:ascii="宋体" w:hAnsi="宋体" w:hint="eastAsia"/>
          <w:sz w:val="24"/>
          <w:szCs w:val="24"/>
        </w:rPr>
      </w:pPr>
      <w:r w:rsidRPr="00443274">
        <w:rPr>
          <w:rFonts w:ascii="宋体" w:hAnsi="宋体"/>
          <w:sz w:val="24"/>
          <w:szCs w:val="24"/>
        </w:rPr>
        <w:t>董事会审计委员会认为：本次会计政策变更是公司根据财政部的相关规定 进行的相应变更，新会计政策的执行可以更客观、公允地反映公司的财务状况 和</w:t>
      </w:r>
      <w:r w:rsidRPr="00443274">
        <w:rPr>
          <w:rFonts w:ascii="宋体" w:hAnsi="宋体"/>
          <w:sz w:val="24"/>
          <w:szCs w:val="24"/>
        </w:rPr>
        <w:lastRenderedPageBreak/>
        <w:t>经营成果，不存在损害公司及全体股东，特别是中小股东利益的情形。董事会审计委员会同意本次会计政策变更。</w:t>
      </w:r>
    </w:p>
    <w:p w14:paraId="1579D562" w14:textId="3CDEC0FD" w:rsidR="002B7618" w:rsidRDefault="002867C8" w:rsidP="00F03CCF">
      <w:pPr>
        <w:spacing w:line="500" w:lineRule="exact"/>
        <w:ind w:firstLineChars="200" w:firstLine="480"/>
        <w:rPr>
          <w:rFonts w:ascii="宋体" w:hAnsi="宋体" w:hint="eastAsia"/>
          <w:sz w:val="24"/>
          <w:szCs w:val="24"/>
        </w:rPr>
      </w:pPr>
      <w:r w:rsidRPr="009720BD">
        <w:rPr>
          <w:rFonts w:ascii="宋体" w:hAnsi="宋体" w:hint="eastAsia"/>
          <w:sz w:val="24"/>
          <w:szCs w:val="24"/>
        </w:rPr>
        <w:t>特此公告。</w:t>
      </w:r>
    </w:p>
    <w:p w14:paraId="32E8A7CF" w14:textId="77777777" w:rsidR="006D0F45" w:rsidRDefault="006D0F45" w:rsidP="00F03CCF">
      <w:pPr>
        <w:spacing w:line="500" w:lineRule="exact"/>
        <w:ind w:firstLineChars="200" w:firstLine="480"/>
        <w:rPr>
          <w:rFonts w:ascii="宋体" w:hAnsi="宋体" w:hint="eastAsia"/>
          <w:sz w:val="24"/>
          <w:szCs w:val="24"/>
        </w:rPr>
      </w:pPr>
    </w:p>
    <w:p w14:paraId="4DDB63AC" w14:textId="77777777" w:rsidR="006D0F45" w:rsidRPr="00EA6081" w:rsidRDefault="006D0F45" w:rsidP="00F03CCF">
      <w:pPr>
        <w:spacing w:line="500" w:lineRule="exact"/>
        <w:ind w:firstLineChars="200" w:firstLine="480"/>
        <w:rPr>
          <w:rFonts w:ascii="宋体" w:hAnsi="宋体" w:hint="eastAsia"/>
          <w:sz w:val="24"/>
          <w:szCs w:val="24"/>
        </w:rPr>
      </w:pPr>
    </w:p>
    <w:p w14:paraId="67FB9637" w14:textId="77777777" w:rsidR="009720BD" w:rsidRDefault="002867C8" w:rsidP="009720BD">
      <w:pPr>
        <w:spacing w:line="500" w:lineRule="exact"/>
        <w:ind w:leftChars="800" w:left="1680" w:firstLineChars="600" w:firstLine="1440"/>
        <w:jc w:val="right"/>
        <w:rPr>
          <w:rFonts w:ascii="宋体" w:hAnsi="宋体" w:hint="eastAsia"/>
          <w:sz w:val="24"/>
          <w:szCs w:val="24"/>
        </w:rPr>
      </w:pPr>
      <w:r w:rsidRPr="009720BD">
        <w:rPr>
          <w:rFonts w:ascii="宋体" w:hAnsi="宋体" w:hint="eastAsia"/>
          <w:sz w:val="24"/>
          <w:szCs w:val="24"/>
        </w:rPr>
        <w:t>北京京城机电股份有限公司董事会</w:t>
      </w:r>
      <w:r w:rsidR="002573A9" w:rsidRPr="009720BD">
        <w:rPr>
          <w:rFonts w:ascii="宋体" w:hAnsi="宋体" w:hint="eastAsia"/>
          <w:sz w:val="24"/>
          <w:szCs w:val="24"/>
        </w:rPr>
        <w:t xml:space="preserve">  </w:t>
      </w:r>
    </w:p>
    <w:p w14:paraId="030596AB" w14:textId="3AE8AB5A" w:rsidR="00E903DD" w:rsidRPr="009720BD" w:rsidRDefault="00700BD8" w:rsidP="009720BD">
      <w:pPr>
        <w:spacing w:line="500" w:lineRule="exact"/>
        <w:ind w:leftChars="800" w:left="1680" w:firstLineChars="600" w:firstLine="1440"/>
        <w:jc w:val="right"/>
        <w:rPr>
          <w:rFonts w:ascii="宋体" w:hAnsi="宋体" w:hint="eastAsia"/>
          <w:sz w:val="24"/>
          <w:szCs w:val="24"/>
        </w:rPr>
      </w:pPr>
      <w:r w:rsidRPr="009720BD">
        <w:rPr>
          <w:rFonts w:ascii="宋体" w:hAnsi="宋体" w:hint="eastAsia"/>
          <w:sz w:val="24"/>
          <w:szCs w:val="24"/>
        </w:rPr>
        <w:t>202</w:t>
      </w:r>
      <w:r w:rsidR="00EA5A19">
        <w:rPr>
          <w:rFonts w:ascii="宋体" w:hAnsi="宋体" w:hint="eastAsia"/>
          <w:sz w:val="24"/>
          <w:szCs w:val="24"/>
        </w:rPr>
        <w:t>5</w:t>
      </w:r>
      <w:r w:rsidR="002867C8" w:rsidRPr="009720BD">
        <w:rPr>
          <w:rFonts w:ascii="宋体" w:hAnsi="宋体" w:hint="eastAsia"/>
          <w:sz w:val="24"/>
          <w:szCs w:val="24"/>
        </w:rPr>
        <w:t>年</w:t>
      </w:r>
      <w:r w:rsidR="00135D24" w:rsidRPr="009720BD">
        <w:rPr>
          <w:rFonts w:ascii="宋体" w:hAnsi="宋体" w:hint="eastAsia"/>
          <w:sz w:val="24"/>
          <w:szCs w:val="24"/>
        </w:rPr>
        <w:t>3</w:t>
      </w:r>
      <w:r w:rsidR="002867C8" w:rsidRPr="009720BD">
        <w:rPr>
          <w:rFonts w:ascii="宋体" w:hAnsi="宋体" w:hint="eastAsia"/>
          <w:sz w:val="24"/>
          <w:szCs w:val="24"/>
        </w:rPr>
        <w:t>月</w:t>
      </w:r>
      <w:r w:rsidR="00D547FB" w:rsidRPr="009720BD">
        <w:rPr>
          <w:rFonts w:ascii="宋体" w:hAnsi="宋体" w:hint="eastAsia"/>
          <w:sz w:val="24"/>
          <w:szCs w:val="24"/>
        </w:rPr>
        <w:t>28</w:t>
      </w:r>
      <w:r w:rsidR="002867C8" w:rsidRPr="009720BD">
        <w:rPr>
          <w:rFonts w:ascii="宋体" w:hAnsi="宋体" w:hint="eastAsia"/>
          <w:sz w:val="24"/>
          <w:szCs w:val="24"/>
        </w:rPr>
        <w:t>日</w:t>
      </w:r>
    </w:p>
    <w:sectPr w:rsidR="00E903DD" w:rsidRPr="009720BD" w:rsidSect="00F03CCF">
      <w:footerReference w:type="even" r:id="rId7"/>
      <w:footerReference w:type="default" r:id="rId8"/>
      <w:pgSz w:w="11906" w:h="16838"/>
      <w:pgMar w:top="1418" w:right="1758" w:bottom="1418" w:left="1758" w:header="1247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80FBEF" w14:textId="77777777" w:rsidR="00347730" w:rsidRDefault="00347730">
      <w:r>
        <w:separator/>
      </w:r>
    </w:p>
  </w:endnote>
  <w:endnote w:type="continuationSeparator" w:id="0">
    <w:p w14:paraId="444D3645" w14:textId="77777777" w:rsidR="00347730" w:rsidRDefault="003477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31ED7" w14:textId="77777777" w:rsidR="002867C8" w:rsidRDefault="002867C8">
    <w:pPr>
      <w:pStyle w:val="a9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14:paraId="6E32F41F" w14:textId="77777777" w:rsidR="002867C8" w:rsidRDefault="002867C8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6DCB89" w14:textId="77777777" w:rsidR="002867C8" w:rsidRDefault="002867C8">
    <w:pPr>
      <w:pStyle w:val="a9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12779D">
      <w:rPr>
        <w:rStyle w:val="a5"/>
        <w:noProof/>
      </w:rPr>
      <w:t>1</w:t>
    </w:r>
    <w:r>
      <w:fldChar w:fldCharType="end"/>
    </w:r>
  </w:p>
  <w:p w14:paraId="5B2608DB" w14:textId="77777777" w:rsidR="002867C8" w:rsidRDefault="002867C8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93F404" w14:textId="77777777" w:rsidR="00347730" w:rsidRDefault="00347730">
      <w:r>
        <w:separator/>
      </w:r>
    </w:p>
  </w:footnote>
  <w:footnote w:type="continuationSeparator" w:id="0">
    <w:p w14:paraId="0D751D3F" w14:textId="77777777" w:rsidR="00347730" w:rsidRDefault="003477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7109D2"/>
    <w:multiLevelType w:val="hybridMultilevel"/>
    <w:tmpl w:val="1F3246A6"/>
    <w:lvl w:ilvl="0" w:tplc="6C7AF3D0">
      <w:start w:val="1"/>
      <w:numFmt w:val="decimal"/>
      <w:lvlText w:val="%1、"/>
      <w:lvlJc w:val="left"/>
      <w:pPr>
        <w:ind w:left="84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40"/>
      </w:pPr>
    </w:lvl>
    <w:lvl w:ilvl="2" w:tplc="0409001B" w:tentative="1">
      <w:start w:val="1"/>
      <w:numFmt w:val="lowerRoman"/>
      <w:lvlText w:val="%3."/>
      <w:lvlJc w:val="right"/>
      <w:pPr>
        <w:ind w:left="1805" w:hanging="440"/>
      </w:pPr>
    </w:lvl>
    <w:lvl w:ilvl="3" w:tplc="0409000F" w:tentative="1">
      <w:start w:val="1"/>
      <w:numFmt w:val="decimal"/>
      <w:lvlText w:val="%4."/>
      <w:lvlJc w:val="left"/>
      <w:pPr>
        <w:ind w:left="2245" w:hanging="440"/>
      </w:pPr>
    </w:lvl>
    <w:lvl w:ilvl="4" w:tplc="04090019" w:tentative="1">
      <w:start w:val="1"/>
      <w:numFmt w:val="lowerLetter"/>
      <w:lvlText w:val="%5)"/>
      <w:lvlJc w:val="left"/>
      <w:pPr>
        <w:ind w:left="2685" w:hanging="440"/>
      </w:pPr>
    </w:lvl>
    <w:lvl w:ilvl="5" w:tplc="0409001B" w:tentative="1">
      <w:start w:val="1"/>
      <w:numFmt w:val="lowerRoman"/>
      <w:lvlText w:val="%6."/>
      <w:lvlJc w:val="right"/>
      <w:pPr>
        <w:ind w:left="3125" w:hanging="440"/>
      </w:pPr>
    </w:lvl>
    <w:lvl w:ilvl="6" w:tplc="0409000F" w:tentative="1">
      <w:start w:val="1"/>
      <w:numFmt w:val="decimal"/>
      <w:lvlText w:val="%7."/>
      <w:lvlJc w:val="left"/>
      <w:pPr>
        <w:ind w:left="3565" w:hanging="440"/>
      </w:pPr>
    </w:lvl>
    <w:lvl w:ilvl="7" w:tplc="04090019" w:tentative="1">
      <w:start w:val="1"/>
      <w:numFmt w:val="lowerLetter"/>
      <w:lvlText w:val="%8)"/>
      <w:lvlJc w:val="left"/>
      <w:pPr>
        <w:ind w:left="4005" w:hanging="440"/>
      </w:pPr>
    </w:lvl>
    <w:lvl w:ilvl="8" w:tplc="0409001B" w:tentative="1">
      <w:start w:val="1"/>
      <w:numFmt w:val="lowerRoman"/>
      <w:lvlText w:val="%9."/>
      <w:lvlJc w:val="right"/>
      <w:pPr>
        <w:ind w:left="4445" w:hanging="440"/>
      </w:pPr>
    </w:lvl>
  </w:abstractNum>
  <w:abstractNum w:abstractNumId="1" w15:restartNumberingAfterBreak="0">
    <w:nsid w:val="23286009"/>
    <w:multiLevelType w:val="multilevel"/>
    <w:tmpl w:val="23286009"/>
    <w:lvl w:ilvl="0">
      <w:numFmt w:val="bullet"/>
      <w:lvlText w:val=""/>
      <w:lvlJc w:val="left"/>
      <w:pPr>
        <w:tabs>
          <w:tab w:val="left" w:pos="1318"/>
        </w:tabs>
        <w:ind w:left="1318" w:hanging="780"/>
      </w:pPr>
      <w:rPr>
        <w:rFonts w:ascii="Wingdings" w:eastAsia="仿宋_GB2312" w:hAnsi="Wingdings" w:cs="Times New Roman" w:hint="default"/>
        <w:b w:val="0"/>
      </w:rPr>
    </w:lvl>
    <w:lvl w:ilvl="1">
      <w:start w:val="1"/>
      <w:numFmt w:val="bullet"/>
      <w:lvlText w:val=""/>
      <w:lvlJc w:val="left"/>
      <w:pPr>
        <w:tabs>
          <w:tab w:val="left" w:pos="1378"/>
        </w:tabs>
        <w:ind w:left="137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798"/>
        </w:tabs>
        <w:ind w:left="179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218"/>
        </w:tabs>
        <w:ind w:left="2218" w:hanging="420"/>
      </w:pPr>
      <w:rPr>
        <w:rFonts w:ascii="Wingdings" w:hAnsi="Wingdings" w:hint="default"/>
        <w:b w:val="0"/>
      </w:rPr>
    </w:lvl>
    <w:lvl w:ilvl="4">
      <w:start w:val="1"/>
      <w:numFmt w:val="bullet"/>
      <w:lvlText w:val=""/>
      <w:lvlJc w:val="left"/>
      <w:pPr>
        <w:tabs>
          <w:tab w:val="left" w:pos="2638"/>
        </w:tabs>
        <w:ind w:left="263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3058"/>
        </w:tabs>
        <w:ind w:left="305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478"/>
        </w:tabs>
        <w:ind w:left="347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898"/>
        </w:tabs>
        <w:ind w:left="389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318"/>
        </w:tabs>
        <w:ind w:left="4318" w:hanging="420"/>
      </w:pPr>
      <w:rPr>
        <w:rFonts w:ascii="Wingdings" w:hAnsi="Wingdings" w:hint="default"/>
      </w:rPr>
    </w:lvl>
  </w:abstractNum>
  <w:abstractNum w:abstractNumId="2" w15:restartNumberingAfterBreak="0">
    <w:nsid w:val="64E45930"/>
    <w:multiLevelType w:val="hybridMultilevel"/>
    <w:tmpl w:val="ADDC5D82"/>
    <w:lvl w:ilvl="0" w:tplc="04090001">
      <w:start w:val="1"/>
      <w:numFmt w:val="bullet"/>
      <w:lvlText w:val=""/>
      <w:lvlJc w:val="left"/>
      <w:pPr>
        <w:ind w:left="1002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2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82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2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2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2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2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2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22" w:hanging="440"/>
      </w:pPr>
      <w:rPr>
        <w:rFonts w:ascii="Wingdings" w:hAnsi="Wingdings" w:hint="default"/>
      </w:rPr>
    </w:lvl>
  </w:abstractNum>
  <w:abstractNum w:abstractNumId="3" w15:restartNumberingAfterBreak="0">
    <w:nsid w:val="679B797D"/>
    <w:multiLevelType w:val="hybridMultilevel"/>
    <w:tmpl w:val="941C8286"/>
    <w:lvl w:ilvl="0" w:tplc="04090001">
      <w:start w:val="1"/>
      <w:numFmt w:val="bullet"/>
      <w:lvlText w:val=""/>
      <w:lvlJc w:val="left"/>
      <w:pPr>
        <w:ind w:left="925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65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5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5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5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5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5" w:hanging="440"/>
      </w:pPr>
      <w:rPr>
        <w:rFonts w:ascii="Wingdings" w:hAnsi="Wingdings" w:hint="default"/>
      </w:rPr>
    </w:lvl>
  </w:abstractNum>
  <w:num w:numId="1" w16cid:durableId="606502497">
    <w:abstractNumId w:val="0"/>
  </w:num>
  <w:num w:numId="2" w16cid:durableId="1024089852">
    <w:abstractNumId w:val="1"/>
  </w:num>
  <w:num w:numId="3" w16cid:durableId="1400976856">
    <w:abstractNumId w:val="2"/>
  </w:num>
  <w:num w:numId="4" w16cid:durableId="6912274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1774E"/>
    <w:rsid w:val="00006220"/>
    <w:rsid w:val="00007D4D"/>
    <w:rsid w:val="00007DC9"/>
    <w:rsid w:val="00012B2B"/>
    <w:rsid w:val="00020C74"/>
    <w:rsid w:val="000224DD"/>
    <w:rsid w:val="00022C50"/>
    <w:rsid w:val="00022D4F"/>
    <w:rsid w:val="000302AF"/>
    <w:rsid w:val="00030D6A"/>
    <w:rsid w:val="0003174F"/>
    <w:rsid w:val="00036720"/>
    <w:rsid w:val="00046764"/>
    <w:rsid w:val="00050E24"/>
    <w:rsid w:val="0005264C"/>
    <w:rsid w:val="00053184"/>
    <w:rsid w:val="000578FE"/>
    <w:rsid w:val="00062427"/>
    <w:rsid w:val="00064E9C"/>
    <w:rsid w:val="00070A29"/>
    <w:rsid w:val="00074182"/>
    <w:rsid w:val="00076F29"/>
    <w:rsid w:val="00077373"/>
    <w:rsid w:val="000820F1"/>
    <w:rsid w:val="00083CB1"/>
    <w:rsid w:val="00086313"/>
    <w:rsid w:val="00087C17"/>
    <w:rsid w:val="000971BC"/>
    <w:rsid w:val="000A2BB1"/>
    <w:rsid w:val="000B08A8"/>
    <w:rsid w:val="000B685D"/>
    <w:rsid w:val="000C513F"/>
    <w:rsid w:val="000C685C"/>
    <w:rsid w:val="000D0F76"/>
    <w:rsid w:val="000E0E1E"/>
    <w:rsid w:val="000E7B35"/>
    <w:rsid w:val="000F24C8"/>
    <w:rsid w:val="000F6531"/>
    <w:rsid w:val="000F7FF5"/>
    <w:rsid w:val="00101F41"/>
    <w:rsid w:val="00110CF3"/>
    <w:rsid w:val="0011270C"/>
    <w:rsid w:val="00115134"/>
    <w:rsid w:val="001240E7"/>
    <w:rsid w:val="0012779D"/>
    <w:rsid w:val="00134733"/>
    <w:rsid w:val="00135D24"/>
    <w:rsid w:val="001368E9"/>
    <w:rsid w:val="00137E40"/>
    <w:rsid w:val="0014103E"/>
    <w:rsid w:val="00143A5D"/>
    <w:rsid w:val="00144204"/>
    <w:rsid w:val="0014667B"/>
    <w:rsid w:val="0014781B"/>
    <w:rsid w:val="00150BDC"/>
    <w:rsid w:val="00151E53"/>
    <w:rsid w:val="00152FD0"/>
    <w:rsid w:val="00155E83"/>
    <w:rsid w:val="001624F8"/>
    <w:rsid w:val="00173BCF"/>
    <w:rsid w:val="00174B6E"/>
    <w:rsid w:val="001857CE"/>
    <w:rsid w:val="00186AE3"/>
    <w:rsid w:val="00187474"/>
    <w:rsid w:val="001A33AE"/>
    <w:rsid w:val="001A6545"/>
    <w:rsid w:val="001A754C"/>
    <w:rsid w:val="001A7DE5"/>
    <w:rsid w:val="001B7C53"/>
    <w:rsid w:val="001C1F75"/>
    <w:rsid w:val="001C509E"/>
    <w:rsid w:val="001C5512"/>
    <w:rsid w:val="001C72AD"/>
    <w:rsid w:val="001D35D7"/>
    <w:rsid w:val="001E540A"/>
    <w:rsid w:val="001E57B9"/>
    <w:rsid w:val="001F2045"/>
    <w:rsid w:val="001F41B7"/>
    <w:rsid w:val="001F5B07"/>
    <w:rsid w:val="0021201C"/>
    <w:rsid w:val="002155E4"/>
    <w:rsid w:val="00225EC4"/>
    <w:rsid w:val="00226BF0"/>
    <w:rsid w:val="00227B6B"/>
    <w:rsid w:val="002573A9"/>
    <w:rsid w:val="00260869"/>
    <w:rsid w:val="00265B9C"/>
    <w:rsid w:val="0026645A"/>
    <w:rsid w:val="002749E3"/>
    <w:rsid w:val="00277E7C"/>
    <w:rsid w:val="00282CD8"/>
    <w:rsid w:val="00286538"/>
    <w:rsid w:val="002867C8"/>
    <w:rsid w:val="00293D5D"/>
    <w:rsid w:val="002A3B43"/>
    <w:rsid w:val="002A6168"/>
    <w:rsid w:val="002B52EA"/>
    <w:rsid w:val="002B7618"/>
    <w:rsid w:val="002D214E"/>
    <w:rsid w:val="002D4782"/>
    <w:rsid w:val="002F3306"/>
    <w:rsid w:val="002F3F14"/>
    <w:rsid w:val="002F7052"/>
    <w:rsid w:val="0030496B"/>
    <w:rsid w:val="00310720"/>
    <w:rsid w:val="00316B1A"/>
    <w:rsid w:val="00331EF6"/>
    <w:rsid w:val="00333D69"/>
    <w:rsid w:val="00335C52"/>
    <w:rsid w:val="00336946"/>
    <w:rsid w:val="00344D71"/>
    <w:rsid w:val="00346B3E"/>
    <w:rsid w:val="00347730"/>
    <w:rsid w:val="00352670"/>
    <w:rsid w:val="00354DC4"/>
    <w:rsid w:val="00363216"/>
    <w:rsid w:val="00367217"/>
    <w:rsid w:val="00367D10"/>
    <w:rsid w:val="00367EBE"/>
    <w:rsid w:val="00376BE2"/>
    <w:rsid w:val="003838E1"/>
    <w:rsid w:val="003872BC"/>
    <w:rsid w:val="00393C49"/>
    <w:rsid w:val="003C1390"/>
    <w:rsid w:val="003D1783"/>
    <w:rsid w:val="003D6110"/>
    <w:rsid w:val="003D7FA1"/>
    <w:rsid w:val="003E09E2"/>
    <w:rsid w:val="003E3E4E"/>
    <w:rsid w:val="003E7219"/>
    <w:rsid w:val="003F355C"/>
    <w:rsid w:val="003F5040"/>
    <w:rsid w:val="003F6E6C"/>
    <w:rsid w:val="004051FB"/>
    <w:rsid w:val="00406643"/>
    <w:rsid w:val="00406F7A"/>
    <w:rsid w:val="004115CF"/>
    <w:rsid w:val="004126E6"/>
    <w:rsid w:val="0041641C"/>
    <w:rsid w:val="004178CF"/>
    <w:rsid w:val="004237C0"/>
    <w:rsid w:val="00431113"/>
    <w:rsid w:val="00432B4A"/>
    <w:rsid w:val="00433EA6"/>
    <w:rsid w:val="004401BA"/>
    <w:rsid w:val="004430CF"/>
    <w:rsid w:val="00443274"/>
    <w:rsid w:val="00452741"/>
    <w:rsid w:val="00453E86"/>
    <w:rsid w:val="00456C16"/>
    <w:rsid w:val="00456F80"/>
    <w:rsid w:val="004574E6"/>
    <w:rsid w:val="00462FFC"/>
    <w:rsid w:val="00472C11"/>
    <w:rsid w:val="00481549"/>
    <w:rsid w:val="00486497"/>
    <w:rsid w:val="00497091"/>
    <w:rsid w:val="004A05F3"/>
    <w:rsid w:val="004A2E6A"/>
    <w:rsid w:val="004B248D"/>
    <w:rsid w:val="004C0993"/>
    <w:rsid w:val="004C38B0"/>
    <w:rsid w:val="004C6BC2"/>
    <w:rsid w:val="004D220A"/>
    <w:rsid w:val="004E050B"/>
    <w:rsid w:val="004E1E47"/>
    <w:rsid w:val="00502EE8"/>
    <w:rsid w:val="00507CFF"/>
    <w:rsid w:val="005215FD"/>
    <w:rsid w:val="005229A1"/>
    <w:rsid w:val="00524CD8"/>
    <w:rsid w:val="0052521C"/>
    <w:rsid w:val="00532FEB"/>
    <w:rsid w:val="0053434E"/>
    <w:rsid w:val="00535CBF"/>
    <w:rsid w:val="005404FA"/>
    <w:rsid w:val="00542D4B"/>
    <w:rsid w:val="005434EC"/>
    <w:rsid w:val="0056386E"/>
    <w:rsid w:val="00564173"/>
    <w:rsid w:val="00571ECC"/>
    <w:rsid w:val="0058055A"/>
    <w:rsid w:val="00581C2B"/>
    <w:rsid w:val="00583741"/>
    <w:rsid w:val="005851C3"/>
    <w:rsid w:val="00587AC1"/>
    <w:rsid w:val="005A7BDA"/>
    <w:rsid w:val="005B4F99"/>
    <w:rsid w:val="005C4279"/>
    <w:rsid w:val="005C6374"/>
    <w:rsid w:val="005C6A4A"/>
    <w:rsid w:val="005D39E7"/>
    <w:rsid w:val="005D67DD"/>
    <w:rsid w:val="005D7382"/>
    <w:rsid w:val="005E0A17"/>
    <w:rsid w:val="005E288E"/>
    <w:rsid w:val="005E4CC8"/>
    <w:rsid w:val="005F7652"/>
    <w:rsid w:val="00606688"/>
    <w:rsid w:val="00612C55"/>
    <w:rsid w:val="00617572"/>
    <w:rsid w:val="00637EB3"/>
    <w:rsid w:val="006435BB"/>
    <w:rsid w:val="006441BA"/>
    <w:rsid w:val="006706AA"/>
    <w:rsid w:val="00675CE0"/>
    <w:rsid w:val="00682BEE"/>
    <w:rsid w:val="006833CF"/>
    <w:rsid w:val="006835B1"/>
    <w:rsid w:val="00684DD8"/>
    <w:rsid w:val="006904D9"/>
    <w:rsid w:val="00692F55"/>
    <w:rsid w:val="00693922"/>
    <w:rsid w:val="00695CFD"/>
    <w:rsid w:val="006A5696"/>
    <w:rsid w:val="006B092D"/>
    <w:rsid w:val="006B35E0"/>
    <w:rsid w:val="006B3C68"/>
    <w:rsid w:val="006D0F45"/>
    <w:rsid w:val="006D5071"/>
    <w:rsid w:val="006D5F8E"/>
    <w:rsid w:val="006E07E0"/>
    <w:rsid w:val="006F0ED4"/>
    <w:rsid w:val="006F2B9A"/>
    <w:rsid w:val="006F6BB5"/>
    <w:rsid w:val="006F6CF4"/>
    <w:rsid w:val="00700BD8"/>
    <w:rsid w:val="0070242F"/>
    <w:rsid w:val="00706E51"/>
    <w:rsid w:val="00713471"/>
    <w:rsid w:val="0072130B"/>
    <w:rsid w:val="007323FD"/>
    <w:rsid w:val="00735251"/>
    <w:rsid w:val="00735B62"/>
    <w:rsid w:val="00746E5B"/>
    <w:rsid w:val="00755543"/>
    <w:rsid w:val="007615C3"/>
    <w:rsid w:val="0076498B"/>
    <w:rsid w:val="00775C49"/>
    <w:rsid w:val="00780530"/>
    <w:rsid w:val="007809CC"/>
    <w:rsid w:val="00784CE8"/>
    <w:rsid w:val="00786E8B"/>
    <w:rsid w:val="00791AFE"/>
    <w:rsid w:val="00792005"/>
    <w:rsid w:val="007A2C67"/>
    <w:rsid w:val="007A72F6"/>
    <w:rsid w:val="007B57C3"/>
    <w:rsid w:val="007D7732"/>
    <w:rsid w:val="007F1A4D"/>
    <w:rsid w:val="007F2CC9"/>
    <w:rsid w:val="007F3694"/>
    <w:rsid w:val="007F38CE"/>
    <w:rsid w:val="007F4943"/>
    <w:rsid w:val="007F538F"/>
    <w:rsid w:val="007F6E1C"/>
    <w:rsid w:val="00827192"/>
    <w:rsid w:val="00835B01"/>
    <w:rsid w:val="00845F54"/>
    <w:rsid w:val="00851CAC"/>
    <w:rsid w:val="00852BA6"/>
    <w:rsid w:val="00853EFB"/>
    <w:rsid w:val="00856FFC"/>
    <w:rsid w:val="00860BD9"/>
    <w:rsid w:val="00877820"/>
    <w:rsid w:val="00883019"/>
    <w:rsid w:val="008958C6"/>
    <w:rsid w:val="008C20FE"/>
    <w:rsid w:val="008C30E1"/>
    <w:rsid w:val="008C4F6E"/>
    <w:rsid w:val="008C51E6"/>
    <w:rsid w:val="008C5C2C"/>
    <w:rsid w:val="008D7E11"/>
    <w:rsid w:val="008E18C3"/>
    <w:rsid w:val="008F4F7F"/>
    <w:rsid w:val="0090145C"/>
    <w:rsid w:val="00903ABE"/>
    <w:rsid w:val="00911BC1"/>
    <w:rsid w:val="00914B0C"/>
    <w:rsid w:val="00933205"/>
    <w:rsid w:val="00935EA5"/>
    <w:rsid w:val="00940003"/>
    <w:rsid w:val="009625F7"/>
    <w:rsid w:val="00964C86"/>
    <w:rsid w:val="009720BD"/>
    <w:rsid w:val="00976ADE"/>
    <w:rsid w:val="0098137C"/>
    <w:rsid w:val="00982D7C"/>
    <w:rsid w:val="00984602"/>
    <w:rsid w:val="0098668D"/>
    <w:rsid w:val="009904C7"/>
    <w:rsid w:val="009914D8"/>
    <w:rsid w:val="009B3DEC"/>
    <w:rsid w:val="009B4935"/>
    <w:rsid w:val="009B55D1"/>
    <w:rsid w:val="009B5955"/>
    <w:rsid w:val="009B5AB4"/>
    <w:rsid w:val="009B6E7F"/>
    <w:rsid w:val="009C03BB"/>
    <w:rsid w:val="009C5308"/>
    <w:rsid w:val="009C60DE"/>
    <w:rsid w:val="009D0031"/>
    <w:rsid w:val="009D06C5"/>
    <w:rsid w:val="009E5E3C"/>
    <w:rsid w:val="009F044F"/>
    <w:rsid w:val="009F4114"/>
    <w:rsid w:val="009F4F63"/>
    <w:rsid w:val="009F6647"/>
    <w:rsid w:val="009F7E88"/>
    <w:rsid w:val="00A03935"/>
    <w:rsid w:val="00A105A9"/>
    <w:rsid w:val="00A20B80"/>
    <w:rsid w:val="00A2103B"/>
    <w:rsid w:val="00A319C1"/>
    <w:rsid w:val="00A341CA"/>
    <w:rsid w:val="00A449F3"/>
    <w:rsid w:val="00A45BF7"/>
    <w:rsid w:val="00A45F0C"/>
    <w:rsid w:val="00A5023F"/>
    <w:rsid w:val="00A56A92"/>
    <w:rsid w:val="00A57280"/>
    <w:rsid w:val="00A7162F"/>
    <w:rsid w:val="00A74092"/>
    <w:rsid w:val="00A749CE"/>
    <w:rsid w:val="00A811C3"/>
    <w:rsid w:val="00A92C1A"/>
    <w:rsid w:val="00A938D7"/>
    <w:rsid w:val="00AA11F9"/>
    <w:rsid w:val="00AA401E"/>
    <w:rsid w:val="00AA4C74"/>
    <w:rsid w:val="00AB1211"/>
    <w:rsid w:val="00AB2177"/>
    <w:rsid w:val="00AB32BC"/>
    <w:rsid w:val="00AB4BD5"/>
    <w:rsid w:val="00AD53C4"/>
    <w:rsid w:val="00AD5B72"/>
    <w:rsid w:val="00AE0C15"/>
    <w:rsid w:val="00AE400A"/>
    <w:rsid w:val="00AF0833"/>
    <w:rsid w:val="00AF3685"/>
    <w:rsid w:val="00AF46A0"/>
    <w:rsid w:val="00AF7E53"/>
    <w:rsid w:val="00B01688"/>
    <w:rsid w:val="00B111C6"/>
    <w:rsid w:val="00B16B43"/>
    <w:rsid w:val="00B232C7"/>
    <w:rsid w:val="00B26389"/>
    <w:rsid w:val="00B27D1E"/>
    <w:rsid w:val="00B43B57"/>
    <w:rsid w:val="00B4634F"/>
    <w:rsid w:val="00B504A6"/>
    <w:rsid w:val="00B52F2D"/>
    <w:rsid w:val="00B5712E"/>
    <w:rsid w:val="00B64D9D"/>
    <w:rsid w:val="00B65F54"/>
    <w:rsid w:val="00B66398"/>
    <w:rsid w:val="00B72052"/>
    <w:rsid w:val="00B74DA7"/>
    <w:rsid w:val="00B82045"/>
    <w:rsid w:val="00B83D64"/>
    <w:rsid w:val="00B91888"/>
    <w:rsid w:val="00B94BB3"/>
    <w:rsid w:val="00B94DB0"/>
    <w:rsid w:val="00BA39BE"/>
    <w:rsid w:val="00BA5E4C"/>
    <w:rsid w:val="00BA678F"/>
    <w:rsid w:val="00BB1809"/>
    <w:rsid w:val="00BB2F08"/>
    <w:rsid w:val="00BB36E0"/>
    <w:rsid w:val="00BD2AA4"/>
    <w:rsid w:val="00BE1A02"/>
    <w:rsid w:val="00BE1B97"/>
    <w:rsid w:val="00BE206A"/>
    <w:rsid w:val="00BE399D"/>
    <w:rsid w:val="00BE6946"/>
    <w:rsid w:val="00BE7B55"/>
    <w:rsid w:val="00BF32FE"/>
    <w:rsid w:val="00BF3AB4"/>
    <w:rsid w:val="00BF4C40"/>
    <w:rsid w:val="00C05129"/>
    <w:rsid w:val="00C2132D"/>
    <w:rsid w:val="00C22F96"/>
    <w:rsid w:val="00C246CA"/>
    <w:rsid w:val="00C339CA"/>
    <w:rsid w:val="00C34666"/>
    <w:rsid w:val="00C36559"/>
    <w:rsid w:val="00C517E2"/>
    <w:rsid w:val="00C52DA2"/>
    <w:rsid w:val="00C571E2"/>
    <w:rsid w:val="00C60752"/>
    <w:rsid w:val="00C74FD0"/>
    <w:rsid w:val="00C85797"/>
    <w:rsid w:val="00C95E19"/>
    <w:rsid w:val="00CA14B9"/>
    <w:rsid w:val="00CA73A6"/>
    <w:rsid w:val="00CB44FD"/>
    <w:rsid w:val="00CC6DA4"/>
    <w:rsid w:val="00CD5461"/>
    <w:rsid w:val="00CD74BB"/>
    <w:rsid w:val="00CE3DC4"/>
    <w:rsid w:val="00CE4826"/>
    <w:rsid w:val="00CE6A95"/>
    <w:rsid w:val="00CF48DE"/>
    <w:rsid w:val="00D01B8D"/>
    <w:rsid w:val="00D03174"/>
    <w:rsid w:val="00D06C99"/>
    <w:rsid w:val="00D07BEB"/>
    <w:rsid w:val="00D1774E"/>
    <w:rsid w:val="00D177A8"/>
    <w:rsid w:val="00D17A93"/>
    <w:rsid w:val="00D21132"/>
    <w:rsid w:val="00D431ED"/>
    <w:rsid w:val="00D4326B"/>
    <w:rsid w:val="00D47344"/>
    <w:rsid w:val="00D50D60"/>
    <w:rsid w:val="00D53C3A"/>
    <w:rsid w:val="00D547FB"/>
    <w:rsid w:val="00D55399"/>
    <w:rsid w:val="00D6277D"/>
    <w:rsid w:val="00D67220"/>
    <w:rsid w:val="00D67875"/>
    <w:rsid w:val="00D73874"/>
    <w:rsid w:val="00D818F2"/>
    <w:rsid w:val="00D84385"/>
    <w:rsid w:val="00D8511E"/>
    <w:rsid w:val="00D85820"/>
    <w:rsid w:val="00D87E92"/>
    <w:rsid w:val="00D9078D"/>
    <w:rsid w:val="00D91050"/>
    <w:rsid w:val="00D912DA"/>
    <w:rsid w:val="00DB1BBD"/>
    <w:rsid w:val="00DB66E4"/>
    <w:rsid w:val="00DC05C8"/>
    <w:rsid w:val="00DD28C8"/>
    <w:rsid w:val="00DD6E33"/>
    <w:rsid w:val="00DE0BCF"/>
    <w:rsid w:val="00DF0912"/>
    <w:rsid w:val="00DF72C1"/>
    <w:rsid w:val="00E03196"/>
    <w:rsid w:val="00E12D42"/>
    <w:rsid w:val="00E143D7"/>
    <w:rsid w:val="00E16694"/>
    <w:rsid w:val="00E23E2E"/>
    <w:rsid w:val="00E25E02"/>
    <w:rsid w:val="00E26A3D"/>
    <w:rsid w:val="00E3554B"/>
    <w:rsid w:val="00E359C1"/>
    <w:rsid w:val="00E36AD1"/>
    <w:rsid w:val="00E37C61"/>
    <w:rsid w:val="00E40620"/>
    <w:rsid w:val="00E4079D"/>
    <w:rsid w:val="00E61FEF"/>
    <w:rsid w:val="00E6463F"/>
    <w:rsid w:val="00E65EA3"/>
    <w:rsid w:val="00E713F9"/>
    <w:rsid w:val="00E77922"/>
    <w:rsid w:val="00E84979"/>
    <w:rsid w:val="00E8499D"/>
    <w:rsid w:val="00E85C9B"/>
    <w:rsid w:val="00E903DD"/>
    <w:rsid w:val="00E96C81"/>
    <w:rsid w:val="00E97987"/>
    <w:rsid w:val="00EA47F9"/>
    <w:rsid w:val="00EA5A19"/>
    <w:rsid w:val="00EA6081"/>
    <w:rsid w:val="00EB3683"/>
    <w:rsid w:val="00EB4DC8"/>
    <w:rsid w:val="00EC17D0"/>
    <w:rsid w:val="00EC60D4"/>
    <w:rsid w:val="00EC60EC"/>
    <w:rsid w:val="00ED44E5"/>
    <w:rsid w:val="00ED7211"/>
    <w:rsid w:val="00ED7A26"/>
    <w:rsid w:val="00EE0653"/>
    <w:rsid w:val="00EE6BBF"/>
    <w:rsid w:val="00EF2ACC"/>
    <w:rsid w:val="00EF2D7E"/>
    <w:rsid w:val="00EF35C6"/>
    <w:rsid w:val="00F03CCF"/>
    <w:rsid w:val="00F0745F"/>
    <w:rsid w:val="00F076F5"/>
    <w:rsid w:val="00F11914"/>
    <w:rsid w:val="00F1384E"/>
    <w:rsid w:val="00F16799"/>
    <w:rsid w:val="00F20A0F"/>
    <w:rsid w:val="00F21897"/>
    <w:rsid w:val="00F3783C"/>
    <w:rsid w:val="00F417A9"/>
    <w:rsid w:val="00F471C3"/>
    <w:rsid w:val="00F47FF6"/>
    <w:rsid w:val="00F51A43"/>
    <w:rsid w:val="00F56C4F"/>
    <w:rsid w:val="00F735A7"/>
    <w:rsid w:val="00F73DDD"/>
    <w:rsid w:val="00F81D3D"/>
    <w:rsid w:val="00F85E39"/>
    <w:rsid w:val="00F931CF"/>
    <w:rsid w:val="00F94C41"/>
    <w:rsid w:val="00FA55AF"/>
    <w:rsid w:val="00FA5918"/>
    <w:rsid w:val="00FB26F7"/>
    <w:rsid w:val="00FC67BE"/>
    <w:rsid w:val="00FD0B26"/>
    <w:rsid w:val="00FD46E6"/>
    <w:rsid w:val="00FD5984"/>
    <w:rsid w:val="00FE0175"/>
    <w:rsid w:val="00FE5E7B"/>
    <w:rsid w:val="00FF5AF1"/>
    <w:rsid w:val="00FF64F7"/>
    <w:rsid w:val="713C1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2DE90216"/>
  <w15:chartTrackingRefBased/>
  <w15:docId w15:val="{F548A686-63D5-474E-BD20-6E57CE310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7B5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link w:val="a4"/>
    <w:uiPriority w:val="99"/>
    <w:rPr>
      <w:kern w:val="2"/>
      <w:sz w:val="18"/>
      <w:szCs w:val="18"/>
    </w:rPr>
  </w:style>
  <w:style w:type="character" w:styleId="a5">
    <w:name w:val="page number"/>
  </w:style>
  <w:style w:type="character" w:customStyle="1" w:styleId="a6">
    <w:name w:val="批注框文本 字符"/>
    <w:link w:val="a7"/>
    <w:uiPriority w:val="99"/>
    <w:semiHidden/>
    <w:rPr>
      <w:sz w:val="18"/>
      <w:szCs w:val="18"/>
    </w:rPr>
  </w:style>
  <w:style w:type="character" w:customStyle="1" w:styleId="a8">
    <w:name w:val="页脚 字符"/>
    <w:link w:val="a9"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日期 字符"/>
    <w:link w:val="ab"/>
    <w:uiPriority w:val="99"/>
    <w:semiHidden/>
    <w:rPr>
      <w:kern w:val="2"/>
      <w:sz w:val="21"/>
      <w:szCs w:val="22"/>
    </w:rPr>
  </w:style>
  <w:style w:type="paragraph" w:styleId="ab">
    <w:name w:val="Date"/>
    <w:basedOn w:val="a"/>
    <w:next w:val="a"/>
    <w:link w:val="aa"/>
    <w:uiPriority w:val="99"/>
    <w:unhideWhenUsed/>
    <w:pPr>
      <w:ind w:leftChars="2500" w:left="100"/>
    </w:pPr>
  </w:style>
  <w:style w:type="paragraph" w:styleId="a7">
    <w:name w:val="Balloon Text"/>
    <w:basedOn w:val="a"/>
    <w:link w:val="a6"/>
    <w:uiPriority w:val="99"/>
    <w:unhideWhenUsed/>
    <w:rPr>
      <w:sz w:val="18"/>
      <w:szCs w:val="18"/>
    </w:rPr>
  </w:style>
  <w:style w:type="paragraph" w:styleId="a4">
    <w:name w:val="header"/>
    <w:basedOn w:val="a"/>
    <w:link w:val="a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er"/>
    <w:basedOn w:val="a"/>
    <w:link w:val="a8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customStyle="1" w:styleId="ac">
    <w:name w:val="列出段落"/>
    <w:basedOn w:val="a"/>
    <w:uiPriority w:val="34"/>
    <w:qFormat/>
    <w:pPr>
      <w:ind w:firstLineChars="200" w:firstLine="420"/>
    </w:pPr>
  </w:style>
  <w:style w:type="paragraph" w:customStyle="1" w:styleId="DefaultParagraphFontParaChar">
    <w:name w:val="Default Paragraph Font Para Char"/>
    <w:basedOn w:val="a"/>
    <w:pPr>
      <w:widowControl/>
      <w:spacing w:after="160" w:line="240" w:lineRule="exact"/>
      <w:jc w:val="left"/>
    </w:pPr>
    <w:rPr>
      <w:rFonts w:ascii="Tahoma" w:eastAsia="Times New Roman" w:hAnsi="Tahoma"/>
      <w:kern w:val="0"/>
      <w:sz w:val="20"/>
      <w:szCs w:val="20"/>
      <w:lang w:eastAsia="en-US"/>
    </w:rPr>
  </w:style>
  <w:style w:type="character" w:styleId="ad">
    <w:name w:val="Hyperlink"/>
    <w:uiPriority w:val="99"/>
    <w:unhideWhenUsed/>
    <w:rsid w:val="00EC17D0"/>
    <w:rPr>
      <w:color w:val="0000FF"/>
      <w:u w:val="single"/>
    </w:rPr>
  </w:style>
  <w:style w:type="character" w:styleId="ae">
    <w:name w:val="Unresolved Mention"/>
    <w:uiPriority w:val="99"/>
    <w:semiHidden/>
    <w:unhideWhenUsed/>
    <w:rsid w:val="00393C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3</Pages>
  <Words>232</Words>
  <Characters>1327</Characters>
  <Application>Microsoft Office Word</Application>
  <DocSecurity>0</DocSecurity>
  <PresentationFormat/>
  <Lines>11</Lines>
  <Paragraphs>3</Paragraphs>
  <Slides>0</Slides>
  <Notes>0</Notes>
  <HiddenSlides>0</HiddenSlides>
  <MMClips>0</MMClips>
  <ScaleCrop>false</ScaleCrop>
  <Company>Microsoft</Company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股票代码：600860           股票简称：北人股份        编号：临2013-032</dc:title>
  <dc:subject/>
  <dc:creator>郑文</dc:creator>
  <cp:keywords/>
  <cp:lastModifiedBy>e24628</cp:lastModifiedBy>
  <cp:revision>51</cp:revision>
  <cp:lastPrinted>2024-03-28T03:45:00Z</cp:lastPrinted>
  <dcterms:created xsi:type="dcterms:W3CDTF">2024-03-13T05:34:00Z</dcterms:created>
  <dcterms:modified xsi:type="dcterms:W3CDTF">2025-03-28T06:14:00Z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2052-9.1.0.4885</vt:lpwstr>
  </property>
</Properties>
</file>